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drawing>
          <wp:inline xmlns:a="http://schemas.openxmlformats.org/drawingml/2006/main" xmlns:pic="http://schemas.openxmlformats.org/drawingml/2006/picture">
            <wp:extent cx="1600200" cy="517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ecroch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7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color w:val="E32A26"/>
          <w:sz w:val="16"/>
        </w:rPr>
        <w:t>RESSOURCE GRATUITE  ·  MODÈLE MODIFIABLE</w:t>
      </w:r>
    </w:p>
    <w:p>
      <w:pPr>
        <w:pStyle w:val="Title"/>
      </w:pPr>
      <w:r>
        <w:t>Fiche de préparation et de retour de visite</w:t>
      </w:r>
    </w:p>
    <w:p>
      <w:r>
        <w:t>Distinguer observations, informations orales et hypothèses.</w:t>
      </w:r>
    </w:p>
    <w:p>
      <w:r>
        <w:t>Marché et lot  ........................................................................................................................</w:t>
      </w:r>
    </w:p>
    <w:p>
      <w:r>
        <w:t>Entreprise et responsable  ...................................................................................................</w:t>
      </w:r>
    </w:p>
    <w:p>
      <w:r>
        <w:t>Date et version  .....................................................................................................................</w:t>
      </w:r>
    </w:p>
    <w:p>
      <w:pPr>
        <w:pStyle w:val="Heading1"/>
      </w:pPr>
      <w:r>
        <w:t>Organisation de la visite</w:t>
      </w:r>
    </w:p>
    <w:p>
      <w:pPr>
        <w:spacing w:after="80"/>
      </w:pPr>
      <w:r>
        <w:rPr>
          <w:color w:val="555960"/>
          <w:sz w:val="18"/>
        </w:rPr>
        <w:t>Marché, lot, date, lieu, personnes, inscription et équipements.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Vérifications à préparer</w:t>
      </w:r>
    </w:p>
    <w:p>
      <w:pPr>
        <w:spacing w:after="80"/>
      </w:pPr>
      <w:r>
        <w:rPr>
          <w:color w:val="555960"/>
          <w:sz w:val="18"/>
        </w:rPr>
        <w:t>Zones, versions de plans, accès, interfaces et questions.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Observations sur place</w:t>
      </w:r>
    </w:p>
    <w:p>
      <w:pPr>
        <w:spacing w:after="80"/>
      </w:pPr>
      <w:r>
        <w:rPr>
          <w:color w:val="555960"/>
          <w:sz w:val="18"/>
        </w:rPr>
        <w:t>Localisation, fait observé et incidence à vérifier.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Informations reçues oralement</w:t>
      </w:r>
    </w:p>
    <w:p>
      <w:pPr>
        <w:spacing w:after="80"/>
      </w:pPr>
      <w:r>
        <w:rPr>
          <w:color w:val="555960"/>
          <w:sz w:val="18"/>
        </w:rPr>
        <w:t>Interlocuteur, contenu et confirmation officielle à rechercher.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Actions après visite</w:t>
      </w:r>
    </w:p>
    <w:p>
      <w:pPr>
        <w:spacing w:after="80"/>
      </w:pPr>
      <w:r>
        <w:rPr>
          <w:color w:val="555960"/>
          <w:sz w:val="18"/>
        </w:rPr>
        <w:t>Question officielle, responsable, échéance et document à actualiser.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Points à vérifier</w:t>
      </w:r>
    </w:p>
    <w:p>
      <w:r>
        <w:rPr>
          <w:rFonts w:ascii="DejaVu Sans" w:hAnsi="DejaVu Sans"/>
        </w:rPr>
        <w:t xml:space="preserve">☐  </w:t>
      </w:r>
      <w:r>
        <w:t>Pas d’entrée sur site sans autorisation.</w:t>
      </w:r>
    </w:p>
    <w:p>
      <w:r>
        <w:rPr>
          <w:rFonts w:ascii="DejaVu Sans" w:hAnsi="DejaVu Sans"/>
        </w:rPr>
        <w:t xml:space="preserve">☐  </w:t>
      </w:r>
      <w:r>
        <w:t>Photos et mesures uniquement si permises.</w:t>
      </w:r>
    </w:p>
    <w:p>
      <w:r>
        <w:rPr>
          <w:rFonts w:ascii="DejaVu Sans" w:hAnsi="DejaVu Sans"/>
        </w:rPr>
        <w:t xml:space="preserve">☐  </w:t>
      </w:r>
      <w:r>
        <w:t>Conserver la preuve de présence lorsqu’elle est requise.</w:t>
      </w:r>
    </w:p>
    <w:p>
      <w:r>
        <w:rPr>
          <w:sz w:val="16"/>
        </w:rPr>
        <w:t>Modèle de préparation. Utilisez les formulaires officiels lorsqu’ils sont imposés par le DAO.</w:t>
      </w:r>
    </w:p>
    <w:sectPr w:rsidR="00FC693F" w:rsidRPr="0006063C" w:rsidSect="00034616">
      <w:footerReference w:type="default" r:id="rId10"/>
      <w:pgSz w:w="12240" w:h="15840"/>
      <w:pgMar w:top="835" w:right="1037" w:bottom="835" w:left="1037" w:header="259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960"/>
        <w:sz w:val="16"/>
      </w:rPr>
      <w:t xml:space="preserve">Décroche  ·  décroche.ch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préparation et de retour de visite</dc:title>
  <dc:subject>Soumissions bâtiment en Suisse romande</dc:subject>
  <dc:creator>Décroche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