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Checklist de contrôle avant dépôt</w:t>
      </w:r>
    </w:p>
    <w:p>
      <w:r>
        <w:t>Vérifier la version qui sera effectivement remise.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Contrôle de la version à remettre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Marché, lot et entreprise correctement identifiés.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Dernières pièces et réponses officielles intégrées.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Formulaires et annexes demandés présents.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Attestations contrôlées pour titulaire, dates et forme.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Références et moyens adaptés au marché.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Pièces et engagements des partenaires présents.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Méthode, prix et calendrier cohérents.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Quantités, unités, montants, rabais et taxes contrôlés.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Réserves et variantes examinées selon le DAO.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Signataires et pouvoirs de représentation vérifiés.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Signatures dans la forme requise.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Limites de pages, noms et formats respectés.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Adresse, mentions et nombre d’exemplaires contrôlés.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Canal et règle de réception confirmés.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Soumission effectivement terminée.</w:t>
      </w:r>
    </w:p>
    <w:p>
      <w:pPr>
        <w:spacing w:after="140"/>
      </w:pPr>
      <w:r>
        <w:rPr>
          <w:rFonts w:ascii="DejaVu Sans" w:hAnsi="DejaVu Sans"/>
        </w:rPr>
        <w:t xml:space="preserve">☐  </w:t>
      </w:r>
      <w:r>
        <w:t>Preuve et copie exacte de l’offre archivées.</w:t>
      </w:r>
    </w:p>
    <w:p>
      <w:pPr>
        <w:pStyle w:val="Heading1"/>
      </w:pPr>
      <w:r>
        <w:t>Points ouverts</w:t>
      </w:r>
    </w:p>
    <w:p>
      <w:pPr>
        <w:spacing w:after="80"/>
      </w:pPr>
      <w:r>
        <w:rPr>
          <w:color w:val="555960"/>
          <w:sz w:val="18"/>
        </w:rPr>
        <w:t>Décrire les points restant à traiter, leur responsable et la décision prise.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Validation finale</w:t>
      </w:r>
    </w:p>
    <w:p>
      <w:pPr>
        <w:spacing w:after="80"/>
      </w:pPr>
      <w:r>
        <w:rPr>
          <w:color w:val="555960"/>
          <w:sz w:val="18"/>
        </w:rPr>
        <w:t>Personne, date et référence de la preuve de remise.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contrôle avant dépôt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