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drawing>
          <wp:inline xmlns:a="http://schemas.openxmlformats.org/drawingml/2006/main" xmlns:pic="http://schemas.openxmlformats.org/drawingml/2006/picture">
            <wp:extent cx="1600200" cy="5172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ecroch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5172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color w:val="E32A26"/>
          <w:sz w:val="16"/>
        </w:rPr>
        <w:t>RESSOURCE GRATUITE  ·  MODÈLE MODIFIABLE</w:t>
      </w:r>
    </w:p>
    <w:p>
      <w:pPr>
        <w:pStyle w:val="Title"/>
      </w:pPr>
      <w:r>
        <w:t>Bilan après résultat de la soumission</w:t>
      </w:r>
    </w:p>
    <w:p>
      <w:r>
        <w:t>Organiser les enseignements sans retarder l’examen des voies de droit.</w:t>
      </w:r>
    </w:p>
    <w:p>
      <w:r>
        <w:t>Marché et lot  ........................................................................................................................</w:t>
      </w:r>
    </w:p>
    <w:p>
      <w:r>
        <w:t>Entreprise et responsable  ...................................................................................................</w:t>
      </w:r>
    </w:p>
    <w:p>
      <w:r>
        <w:t>Date et version  .....................................................................................................................</w:t>
      </w:r>
    </w:p>
    <w:p>
      <w:pPr>
        <w:pStyle w:val="Heading1"/>
      </w:pPr>
      <w:r>
        <w:t>Décision et réception</w:t>
      </w:r>
    </w:p>
    <w:p>
      <w:pPr>
        <w:spacing w:after="80"/>
      </w:pPr>
      <w:r>
        <w:rPr>
          <w:color w:val="555960"/>
          <w:sz w:val="18"/>
        </w:rPr>
        <w:t>Nature de décision, date et mode de réception, pièces et indications de recours.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Faits connus</w:t>
      </w:r>
    </w:p>
    <w:p>
      <w:pPr>
        <w:spacing w:after="80"/>
      </w:pPr>
      <w:r>
        <w:rPr>
          <w:color w:val="555960"/>
          <w:sz w:val="18"/>
        </w:rPr>
        <w:t>Notes, motifs et documents disponibles, avec source.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Lecture par critère</w:t>
      </w:r>
    </w:p>
    <w:p>
      <w:pPr>
        <w:spacing w:after="80"/>
      </w:pPr>
      <w:r>
        <w:rPr>
          <w:color w:val="555960"/>
          <w:sz w:val="18"/>
        </w:rPr>
        <w:t>Comparer la demande et la réponse déposée ; distinguer faits et hypothèses.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Effort de préparation</w:t>
      </w:r>
    </w:p>
    <w:p>
      <w:pPr>
        <w:spacing w:after="80"/>
      </w:pPr>
      <w:r>
        <w:rPr>
          <w:color w:val="555960"/>
          <w:sz w:val="18"/>
        </w:rPr>
        <w:t>Heures et coûts prévus et réels, pièces difficiles à réunir.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Actions pour le prochain dossier</w:t>
      </w:r>
    </w:p>
    <w:p>
      <w:pPr>
        <w:spacing w:after="80"/>
      </w:pPr>
      <w:r>
        <w:rPr>
          <w:color w:val="555960"/>
          <w:sz w:val="18"/>
        </w:rPr>
        <w:t>Action concrète, responsable, échéance et contrôle prévu.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spacing w:after="100"/>
      </w:pPr>
      <w:r>
        <w:rPr>
          <w:color w:val="CAC6C0"/>
          <w:sz w:val="18"/>
        </w:rPr>
        <w:t>................................................................................................................................................</w:t>
      </w:r>
    </w:p>
    <w:p>
      <w:pPr>
        <w:pStyle w:val="Heading1"/>
      </w:pPr>
      <w:r>
        <w:t>Points à vérifier</w:t>
      </w:r>
    </w:p>
    <w:p>
      <w:r>
        <w:rPr>
          <w:rFonts w:ascii="DejaVu Sans" w:hAnsi="DejaVu Sans"/>
        </w:rPr>
        <w:t xml:space="preserve">☐  </w:t>
      </w:r>
      <w:r>
        <w:t>Vérifier rapidement les indications de recours si une contestation est envisagée.</w:t>
      </w:r>
    </w:p>
    <w:p>
      <w:r>
        <w:rPr>
          <w:rFonts w:ascii="DejaVu Sans" w:hAnsi="DejaVu Sans"/>
        </w:rPr>
        <w:t xml:space="preserve">☐  </w:t>
      </w:r>
      <w:r>
        <w:t>Une demande d’explication ne doit pas être supposée suspendre un délai.</w:t>
      </w:r>
    </w:p>
    <w:p>
      <w:r>
        <w:rPr>
          <w:sz w:val="16"/>
        </w:rPr>
        <w:t>Modèle de préparation. Utilisez les formulaires officiels lorsqu’ils sont imposés par le DAO.</w:t>
      </w:r>
    </w:p>
    <w:sectPr w:rsidR="00FC693F" w:rsidRPr="0006063C" w:rsidSect="00034616">
      <w:footerReference w:type="default" r:id="rId10"/>
      <w:pgSz w:w="12240" w:h="15840"/>
      <w:pgMar w:top="835" w:right="1037" w:bottom="835" w:left="1037" w:header="259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55960"/>
        <w:sz w:val="16"/>
      </w:rPr>
      <w:t xml:space="preserve">Décroche  ·  décroche.ch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 après résultat de la soumission</dc:title>
  <dc:subject>Soumissions bâtiment en Suisse romande</dc:subject>
  <dc:creator>Décroche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