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drawing>
          <wp:inline xmlns:a="http://schemas.openxmlformats.org/drawingml/2006/main" xmlns:pic="http://schemas.openxmlformats.org/drawingml/2006/picture">
            <wp:extent cx="1600200" cy="51723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decroch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5172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b/>
          <w:color w:val="E32A26"/>
          <w:sz w:val="16"/>
        </w:rPr>
        <w:t>RESSOURCE GRATUITE  ·  MODÈLE MODIFIABLE</w:t>
      </w:r>
    </w:p>
    <w:p>
      <w:pPr>
        <w:pStyle w:val="Title"/>
      </w:pPr>
      <w:r>
        <w:t>Checklist des droits avant publication d’un DAO</w:t>
      </w:r>
    </w:p>
    <w:p>
      <w:r>
        <w:t>Examiner les restrictions pièce par pièce avant publication.</w:t>
      </w:r>
    </w:p>
    <w:p>
      <w:r>
        <w:t>Marché et lot  ........................................................................................................................</w:t>
      </w:r>
    </w:p>
    <w:p>
      <w:r>
        <w:t>Entreprise et responsable  ...................................................................................................</w:t>
      </w:r>
    </w:p>
    <w:p>
      <w:r>
        <w:t>Date et version  .....................................................................................................................</w:t>
      </w:r>
    </w:p>
    <w:p>
      <w:pPr>
        <w:pStyle w:val="Heading1"/>
      </w:pPr>
      <w:r>
        <w:t>Périmètre envisagé</w:t>
      </w:r>
    </w:p>
    <w:p>
      <w:pPr>
        <w:spacing w:after="80"/>
      </w:pPr>
      <w:r>
        <w:rPr>
          <w:color w:val="555960"/>
          <w:sz w:val="18"/>
        </w:rPr>
        <w:t>Pièces, extraits, faits ou visuels à publier, source et version.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pStyle w:val="Heading1"/>
      </w:pPr>
      <w:r>
        <w:t>Droits et restrictions</w:t>
      </w:r>
    </w:p>
    <w:p>
      <w:pPr>
        <w:spacing w:after="80"/>
      </w:pPr>
      <w:r>
        <w:rPr>
          <w:color w:val="555960"/>
          <w:sz w:val="18"/>
        </w:rPr>
        <w:t>Clauses de confidentialité, droits de tiers, licences et données personnelles.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pStyle w:val="Heading1"/>
      </w:pPr>
      <w:r>
        <w:t>Décision par élément</w:t>
      </w:r>
    </w:p>
    <w:p>
      <w:pPr>
        <w:spacing w:after="80"/>
      </w:pPr>
      <w:r>
        <w:rPr>
          <w:color w:val="555960"/>
          <w:sz w:val="18"/>
        </w:rPr>
        <w:t>Publier sur une base vérifiée, demander une autorisation ou retirer l’élément.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pStyle w:val="Heading1"/>
      </w:pPr>
      <w:r>
        <w:t>Justification conservée</w:t>
      </w:r>
    </w:p>
    <w:p>
      <w:pPr>
        <w:spacing w:after="80"/>
      </w:pPr>
      <w:r>
        <w:rPr>
          <w:color w:val="555960"/>
          <w:sz w:val="18"/>
        </w:rPr>
        <w:t>Personne responsable, autorisation et portée exacte, date du contrôle.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pStyle w:val="Heading1"/>
      </w:pPr>
      <w:r>
        <w:t>Points à vérifier</w:t>
      </w:r>
    </w:p>
    <w:p>
      <w:r>
        <w:rPr>
          <w:rFonts w:ascii="DejaVu Sans" w:hAnsi="DejaVu Sans"/>
        </w:rPr>
        <w:t xml:space="preserve">☐  </w:t>
      </w:r>
      <w:r>
        <w:t>Accès obtenu par une voie autorisée.</w:t>
      </w:r>
    </w:p>
    <w:p>
      <w:r>
        <w:rPr>
          <w:rFonts w:ascii="DejaVu Sans" w:hAnsi="DejaVu Sans"/>
        </w:rPr>
        <w:t xml:space="preserve">☐  </w:t>
      </w:r>
      <w:r>
        <w:t>Restrictions du DAO et annexes examinées.</w:t>
      </w:r>
    </w:p>
    <w:p>
      <w:r>
        <w:rPr>
          <w:rFonts w:ascii="DejaVu Sans" w:hAnsi="DejaVu Sans"/>
        </w:rPr>
        <w:t xml:space="preserve">☐  </w:t>
      </w:r>
      <w:r>
        <w:t>Plans, photos, rapports et contenus CAN ou NPK contrôlés.</w:t>
      </w:r>
    </w:p>
    <w:p>
      <w:r>
        <w:rPr>
          <w:rFonts w:ascii="DejaVu Sans" w:hAnsi="DejaVu Sans"/>
        </w:rPr>
        <w:t xml:space="preserve">☐  </w:t>
      </w:r>
      <w:r>
        <w:t>Une reformulation ou une anonymisation ne lève pas seule une restriction.</w:t>
      </w:r>
    </w:p>
    <w:p>
      <w:r>
        <w:rPr>
          <w:rFonts w:ascii="DejaVu Sans" w:hAnsi="DejaVu Sans"/>
        </w:rPr>
        <w:t xml:space="preserve">☐  </w:t>
      </w:r>
      <w:r>
        <w:t>La checklist ne constitue pas une autorisation ni un avis juridique.</w:t>
      </w:r>
    </w:p>
    <w:p>
      <w:r>
        <w:rPr>
          <w:sz w:val="16"/>
        </w:rPr>
        <w:t>Modèle de préparation. Utilisez les formulaires officiels lorsqu’ils sont imposés par le DAO.</w:t>
      </w:r>
    </w:p>
    <w:sectPr w:rsidR="00FC693F" w:rsidRPr="0006063C" w:rsidSect="00034616">
      <w:footerReference w:type="default" r:id="rId10"/>
      <w:pgSz w:w="12240" w:h="15840"/>
      <w:pgMar w:top="835" w:right="1037" w:bottom="835" w:left="1037" w:header="259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55960"/>
        <w:sz w:val="16"/>
      </w:rPr>
      <w:t xml:space="preserve">Décroche  ·  décroche.ch  ·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4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4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4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des droits avant publication d’un DAO</dc:title>
  <dc:subject>Soumissions bâtiment en Suisse romande</dc:subject>
  <dc:creator>Décroche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