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drawing>
          <wp:inline xmlns:a="http://schemas.openxmlformats.org/drawingml/2006/main" xmlns:pic="http://schemas.openxmlformats.org/drawingml/2006/picture">
            <wp:extent cx="1600200" cy="51723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decroch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5172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color w:val="E32A26"/>
          <w:sz w:val="16"/>
        </w:rPr>
        <w:t>RESSOURCE GRATUITE  ·  MODÈLE MODIFIABLE</w:t>
      </w:r>
    </w:p>
    <w:p>
      <w:pPr>
        <w:pStyle w:val="Title"/>
      </w:pPr>
      <w:r>
        <w:t>Canevas de mémoire technique bâtiment</w:t>
      </w:r>
    </w:p>
    <w:p>
      <w:r>
        <w:t>Préparer une réponse adaptée aux rubriques évaluées.</w:t>
      </w:r>
    </w:p>
    <w:p>
      <w:r>
        <w:t>Marché et lot  ........................................................................................................................</w:t>
      </w:r>
    </w:p>
    <w:p>
      <w:r>
        <w:t>Entreprise et responsable  ...................................................................................................</w:t>
      </w:r>
    </w:p>
    <w:p>
      <w:r>
        <w:t>Date et version  .....................................................................................................................</w:t>
      </w:r>
    </w:p>
    <w:p>
      <w:pPr>
        <w:pStyle w:val="Heading1"/>
      </w:pPr>
      <w:r>
        <w:t>Compréhension du marché</w:t>
      </w:r>
    </w:p>
    <w:p>
      <w:pPr>
        <w:spacing w:after="80"/>
      </w:pPr>
      <w:r>
        <w:rPr>
          <w:color w:val="555960"/>
          <w:sz w:val="18"/>
        </w:rPr>
        <w:t>Périmètre, contraintes vérifiées, sources et points à clarifier.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Méthode d’exécution</w:t>
      </w:r>
    </w:p>
    <w:p>
      <w:pPr>
        <w:spacing w:after="80"/>
      </w:pPr>
      <w:r>
        <w:rPr>
          <w:color w:val="555960"/>
          <w:sz w:val="18"/>
        </w:rPr>
        <w:t>Étapes, prérequis, interfaces, moyens et responsables.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Organisation de l’équipe</w:t>
      </w:r>
    </w:p>
    <w:p>
      <w:pPr>
        <w:spacing w:after="80"/>
      </w:pPr>
      <w:r>
        <w:rPr>
          <w:color w:val="555960"/>
          <w:sz w:val="18"/>
        </w:rPr>
        <w:t>Personnes clés, rôle, disponibilité et partenaires.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Planning et approvisionnements</w:t>
      </w:r>
    </w:p>
    <w:p>
      <w:pPr>
        <w:spacing w:after="80"/>
      </w:pPr>
      <w:r>
        <w:rPr>
          <w:color w:val="555960"/>
          <w:sz w:val="18"/>
        </w:rPr>
        <w:t>Jalons, enchaînements, commandes et validations nécessaires.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Contrôles et traitement des écarts</w:t>
      </w:r>
    </w:p>
    <w:p>
      <w:pPr>
        <w:spacing w:after="80"/>
      </w:pPr>
      <w:r>
        <w:rPr>
          <w:color w:val="555960"/>
          <w:sz w:val="18"/>
        </w:rPr>
        <w:t>Point contrôlé, référence applicable, preuve et responsable.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Mesures environnementales et sociales</w:t>
      </w:r>
    </w:p>
    <w:p>
      <w:pPr>
        <w:spacing w:after="80"/>
      </w:pPr>
      <w:r>
        <w:rPr>
          <w:color w:val="555960"/>
          <w:sz w:val="18"/>
        </w:rPr>
        <w:t>Mesures réelles, périmètre, preuves et suivi.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Cohérence avec le prix</w:t>
      </w:r>
    </w:p>
    <w:p>
      <w:pPr>
        <w:spacing w:after="80"/>
      </w:pPr>
      <w:r>
        <w:rPr>
          <w:color w:val="555960"/>
          <w:sz w:val="18"/>
        </w:rPr>
        <w:t>Relier chaque engagement aux moyens, à la période et au poste chiffré.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Points à vérifier</w:t>
      </w:r>
    </w:p>
    <w:p>
      <w:r>
        <w:rPr>
          <w:rFonts w:ascii="DejaVu Sans" w:hAnsi="DejaVu Sans"/>
        </w:rPr>
        <w:t xml:space="preserve">☐  </w:t>
      </w:r>
      <w:r>
        <w:t>Utiliser les annexes imposées si le DAO les prévoit.</w:t>
      </w:r>
    </w:p>
    <w:p>
      <w:r>
        <w:rPr>
          <w:rFonts w:ascii="DejaVu Sans" w:hAnsi="DejaVu Sans"/>
        </w:rPr>
        <w:t xml:space="preserve">☐  </w:t>
      </w:r>
      <w:r>
        <w:t>Ne pas inventer de référence, résultat, disponibilité ou seuil technique.</w:t>
      </w:r>
    </w:p>
    <w:p>
      <w:r>
        <w:rPr>
          <w:sz w:val="16"/>
        </w:rPr>
        <w:t>Modèle de préparation. Utilisez les formulaires officiels lorsqu’ils sont imposés par le DAO.</w:t>
      </w:r>
    </w:p>
    <w:sectPr w:rsidR="00FC693F" w:rsidRPr="0006063C" w:rsidSect="00034616">
      <w:footerReference w:type="default" r:id="rId10"/>
      <w:pgSz w:w="12240" w:h="15840"/>
      <w:pgMar w:top="835" w:right="1037" w:bottom="835" w:left="1037" w:header="259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55960"/>
        <w:sz w:val="16"/>
      </w:rPr>
      <w:t xml:space="preserve">Décroche  ·  décroche.ch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Canevas de mémoire technique bâtiment</dc:title>
  <dc:subject>Soumissions bâtiment en Suisse romande</dc:subject>
  <dc:creator>Décroche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