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CHOISIR LE BON MARCHÉ</w:t>
      </w:r>
    </w:p>
    <w:p>
      <w:pPr>
        <w:pStyle w:val="Title"/>
      </w:pPr>
      <w:r>
        <w:t>Décider de répondre à un appel d’offres bâtiment</w:t>
      </w:r>
    </w:p>
    <w:p>
      <w:r>
        <w:t>Préparer une soumission mobilise le dirigeant, le chiffrage et souvent plusieurs partenaires. Avant de commencer, prenez une décision explicite : répondre, clarifier un point déterminant ou passer cette opportunité. Une grille de décision aide à consacrer votre temps aux dossiers adaptés à l’entreprise.</w:t>
      </w:r>
    </w:p>
    <w:p>
      <w:pPr>
        <w:pStyle w:val="Heading1"/>
      </w:pPr>
      <w:r>
        <w:t>Vérifier les conditions indispensables</w:t>
      </w:r>
    </w:p>
    <w:p>
      <w:r>
        <w:t>Relevez les conditions de participation, les critères d’aptitude et les prestations attendues. Pour chaque exigence déterminante, écrivez la preuve disponible et sa localisation. Une présentation convaincante ne remplace pas une capacité exigée.</w:t>
      </w:r>
    </w:p>
    <w:p>
      <w:r>
        <w:t>Si une preuve manque, distinguez un document à obtenir d’une compétence que l’entreprise ne possède pas. Une attestation à renouveler peut constituer une tâche de préparation. L’absence d’une expérience obligatoire peut remettre en cause la participation. Vérifiez les possibilités prévues dans le dossier avant de compter sur les moyens d’un partenaire.</w:t>
      </w:r>
    </w:p>
    <w:p>
      <w:pPr>
        <w:pStyle w:val="Heading1"/>
      </w:pPr>
      <w:r>
        <w:t>Confirmer la capacité à exécuter</w:t>
      </w:r>
    </w:p>
    <w:p>
      <w:r>
        <w:t>Comparez le calendrier du marché aux chantiers déjà engagés. Examinez les équipes, les compétences, les achats et le matériel. Identifiez les périodes de chevauchement et les personnes qui assureront l’encadrement.</w:t>
      </w:r>
    </w:p>
    <w:p>
      <w:r>
        <w:t>Pour une prestation confiée à un partenaire, vérifiez l’admission de cette organisation et obtenez une confirmation de son périmètre et de sa disponibilité. Une demande de prix envoyée n’est pas un engagement reçu.</w:t>
      </w:r>
    </w:p>
    <w:p>
      <w:pPr>
        <w:pStyle w:val="Heading1"/>
      </w:pPr>
      <w:r>
        <w:t>Estimer l’effort de préparation</w:t>
      </w:r>
    </w:p>
    <w:p>
      <w:r>
        <w:t>Décomposez le temps nécessaire : lecture, éventuelle visite, métrés, consultations, chiffrage, rédaction, collecte des preuves et validation. Ajoutez les coûts externes identifiés. Vérifiez que les informations décisives pourront être réunies dans le délai.</w:t>
      </w:r>
    </w:p>
    <w:p>
      <w:r>
        <w:t>Exemple fictif : deux lots intéressent une entreprise de peinture. Le premier exige une étude technique importante et une visite difficile à organiser. Le second correspond à des références documentées et à une période disponible. Le second peut être plus pertinent, même si son montant semble inférieur.</w:t>
      </w:r>
    </w:p>
    <w:p>
      <w:pPr>
        <w:pStyle w:val="Heading1"/>
      </w:pPr>
      <w:r>
        <w:t>Examiner l’intérêt économique</w:t>
      </w:r>
    </w:p>
    <w:p>
      <w:r>
        <w:t>Vérifiez la zone d’intervention, les conditions de paiement, les garanties, les contraintes logistiques et les risques à chiffrer. Utilisez les coûts propres à votre entreprise. Le montant publié d’un autre marché ne révèle pas la rentabilité de celui que vous étudiez.</w:t>
      </w:r>
    </w:p>
    <w:p>
      <w:r>
        <w:t>Lisez les critères d’adjudication pour comprendre les preuves attendues. Ne transformez pas une pondération qualitative favorable en probabilité de gain : les offres concurrentes et les notes restent inconnues.</w:t>
      </w:r>
    </w:p>
    <w:p>
      <w:pPr>
        <w:pStyle w:val="Heading1"/>
      </w:pPr>
      <w:r>
        <w:t>Consigner la décision</w:t>
      </w:r>
    </w:p>
    <w:p>
      <w:r>
        <w:t>Écrivez « répondre », « clarifier avant décision » ou « passer », avec la raison et le nom du décideur. Pour chaque point ouvert, attribuez un responsable et une échéance. Les questions sur le DAO passent par le canal et le délai prescrits.</w:t>
      </w:r>
    </w:p>
    <w:p>
      <w:r>
        <w:t>Conservez cette trace pour améliorer votre sélection au fil des marchés. La grille gratuite Décroche sert à organiser la décision ; elle ne certifie ni la recevabilité ni l’adjudication de votre offre.</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Décider de répondre à un appel d’offres bâtiment</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