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drawing>
          <wp:inline xmlns:a="http://schemas.openxmlformats.org/drawingml/2006/main" xmlns:pic="http://schemas.openxmlformats.org/drawingml/2006/picture">
            <wp:extent cx="1600200" cy="517236"/>
            <wp:docPr id="1" name="Picture 1"/>
            <wp:cNvGraphicFramePr>
              <a:graphicFrameLocks noChangeAspect="1"/>
            </wp:cNvGraphicFramePr>
            <a:graphic>
              <a:graphicData uri="http://schemas.openxmlformats.org/drawingml/2006/picture">
                <pic:pic>
                  <pic:nvPicPr>
                    <pic:cNvPr id="0" name="logo-decroche.png"/>
                    <pic:cNvPicPr/>
                  </pic:nvPicPr>
                  <pic:blipFill>
                    <a:blip r:embed="rId9"/>
                    <a:stretch>
                      <a:fillRect/>
                    </a:stretch>
                  </pic:blipFill>
                  <pic:spPr>
                    <a:xfrm>
                      <a:off x="0" y="0"/>
                      <a:ext cx="1600200" cy="517236"/>
                    </a:xfrm>
                    <a:prstGeom prst="rect"/>
                  </pic:spPr>
                </pic:pic>
              </a:graphicData>
            </a:graphic>
          </wp:inline>
        </w:drawing>
      </w:r>
    </w:p>
    <w:p>
      <w:pPr>
        <w:spacing w:after="120"/>
      </w:pPr>
      <w:r>
        <w:rPr>
          <w:b/>
          <w:color w:val="E32A26"/>
          <w:sz w:val="16"/>
        </w:rPr>
        <w:t>GUIDE PRATIQUE  ·  PRÉPARER LA RÉPONSE</w:t>
      </w:r>
    </w:p>
    <w:p>
      <w:pPr>
        <w:pStyle w:val="Title"/>
      </w:pPr>
      <w:r>
        <w:t>Préparer les documents pour une soumission bâtiment</w:t>
      </w:r>
    </w:p>
    <w:p>
      <w:r>
        <w:t>La collecte des pièces commence dès la décision de répondre. Certaines informations sont disponibles dans l’entreprise ; d’autres exigent une demande auprès d’un organisme ou d’un partenaire. Un registre permet de suivre leur réception, leur contenu et leur intégration à la soumission.</w:t>
      </w:r>
    </w:p>
    <w:p>
      <w:pPr>
        <w:pStyle w:val="Heading1"/>
      </w:pPr>
      <w:r>
        <w:t>Séparer la base entreprise du dossier du marché</w:t>
      </w:r>
    </w:p>
    <w:p>
      <w:r>
        <w:t>Votre base peut réunir identité, assurances, compétences, moyens et références. Elle fait gagner du temps, mais elle ne constitue pas automatiquement une offre conforme. Pour chaque marché, créez la liste exacte des pièces demandées.</w:t>
      </w:r>
    </w:p>
    <w:p>
      <w:r>
        <w:t>Employez les formulaires de l’acheteur lorsqu’ils sont imposés. Un modèle Décroche aide à préparer les informations ; il ne remplace pas un formulaire officiel requis.</w:t>
      </w:r>
    </w:p>
    <w:p>
      <w:pPr>
        <w:pStyle w:val="Heading1"/>
      </w:pPr>
      <w:r>
        <w:t>Identifier ce qui est demandé</w:t>
      </w:r>
    </w:p>
    <w:p>
      <w:r>
        <w:t>Les familles possibles comprennent les pièces sociales, fiscales, d’assurance et les engagements relatifs aux conditions de travail. Le dossier peut aussi demander des références, qualifications, moyens et informations sur les partenaires.</w:t>
      </w:r>
    </w:p>
    <w:p>
      <w:r>
        <w:t>Ne considérez pas cette liste comme une obligation identique partout. Relevez pour chaque demande la forme, l’ancienneté admise, le moment du contrôle et l’entité concernée. Un document établi au nom d’une autre société ne démontre pas automatiquement votre propre situation.</w:t>
      </w:r>
    </w:p>
    <w:p>
      <w:pPr>
        <w:pStyle w:val="Heading1"/>
      </w:pPr>
      <w:r>
        <w:t>Donner une action et un responsable à chaque pièce</w:t>
      </w:r>
    </w:p>
    <w:p>
      <w:r>
        <w:t>Notez la source de l’exigence, l’émetteur, la date de demande et l’échéance interne. À réception, contrôlez le titulaire, le sujet couvert, les dates et les signatures. Un statut « demandé » reste différent de « reçu », puis de « contrôlé » et « joint ».</w:t>
      </w:r>
    </w:p>
    <w:p>
      <w:r>
        <w:t>Exemple fictif : l’attestation principale est disponible, mais le partenaire doit obtenir sa propre pièce. Le responsable fixe une relance et une date interne de réception, suffisamment tôt pour pouvoir traiter un problème.</w:t>
      </w:r>
    </w:p>
    <w:p>
      <w:pPr>
        <w:pStyle w:val="Heading1"/>
      </w:pPr>
      <w:r>
        <w:t>Préparer les preuves techniques</w:t>
      </w:r>
    </w:p>
    <w:p>
      <w:r>
        <w:t>Choisissez les références selon les caractéristiques annoncées. Décrivez votre rôle réel et les prestations effectivement réalisées. Vérifiez les personnes et équipements proposés avec le responsable d’exploitation, puis leur cohérence avec le planning.</w:t>
      </w:r>
    </w:p>
    <w:p>
      <w:r>
        <w:t>Une référence, un CV ou un certificat d’un ancien dossier doit être revu avant réemploi. Le collaborateur doit encore être disponible et la pièce doit correspondre au produit, au périmètre ou à la période demandés.</w:t>
      </w:r>
    </w:p>
    <w:p>
      <w:pPr>
        <w:pStyle w:val="Heading1"/>
      </w:pPr>
      <w:r>
        <w:t>Organiser le contrôle final</w:t>
      </w:r>
    </w:p>
    <w:p>
      <w:r>
        <w:t>Classez les pièces selon l’ordre attendu et utilisez des noms identifiables. Le registre doit indiquer le fichier réellement remis et la dernière personne qui l’a contrôlé. Pour les données sensibles, limitez les accès aux personnes concernées.</w:t>
      </w:r>
    </w:p>
    <w:p>
      <w:r>
        <w:t>Si une pièce ne peut être obtenue à temps, examinez les instructions et les possibilités de clarification. Ne supposez pas qu’un remplacement ou une production après dépôt sera accepté. Présentez le point au responsable de la décision avant de signer.</w:t>
      </w:r>
    </w:p>
    <w:p>
      <w:r>
        <w:t>Le registre gratuit Décroche permet de suivre ces étapes. Il aide à transformer une collecte de fichiers en dossier vérifié, sans certifier à lui seul la recevabilité de l’offre.</w:t>
      </w:r>
    </w:p>
    <w:p>
      <w:r>
        <w:rPr>
          <w:sz w:val="16"/>
        </w:rPr>
        <w:t>Repères officiels  trias.swiss et Guide romand des marchés publics sur vd.ch</w:t>
      </w:r>
    </w:p>
    <w:sectPr w:rsidR="00FC693F" w:rsidRPr="0006063C" w:rsidSect="00034616">
      <w:footerReference w:type="default" r:id="rId10"/>
      <w:pgSz w:w="12240" w:h="15840"/>
      <w:pgMar w:top="835" w:right="1037" w:bottom="835" w:left="1037" w:header="259"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960"/>
        <w:sz w:val="16"/>
      </w:rPr>
      <w:t xml:space="preserve">Décroche  ·  décroche.ch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Préparer les documents pour une soumission bâtiment</dc:title>
  <dc:subject>Soumissions bâtiment en Suisse romande</dc:subject>
  <dc:creator>Décroche</dc:creator>
  <cp:keywords/>
  <dc:description>generated by python-docx</dc:description>
  <cp:lastModifiedBy/>
  <cp:revision>1</cp:revision>
  <dcterms:created xsi:type="dcterms:W3CDTF">2013-12-23T23:15:00Z</dcterms:created>
  <dcterms:modified xsi:type="dcterms:W3CDTF">2013-12-23T23:15:00Z</dcterms:modified>
  <cp:category/>
</cp:coreProperties>
</file>