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pPr>
      <w:r>
        <w:drawing>
          <wp:inline xmlns:a="http://schemas.openxmlformats.org/drawingml/2006/main" xmlns:pic="http://schemas.openxmlformats.org/drawingml/2006/picture">
            <wp:extent cx="1600200" cy="517236"/>
            <wp:docPr id="1" name="Picture 1"/>
            <wp:cNvGraphicFramePr>
              <a:graphicFrameLocks noChangeAspect="1"/>
            </wp:cNvGraphicFramePr>
            <a:graphic>
              <a:graphicData uri="http://schemas.openxmlformats.org/drawingml/2006/picture">
                <pic:pic>
                  <pic:nvPicPr>
                    <pic:cNvPr id="0" name="logo-decroche.png"/>
                    <pic:cNvPicPr/>
                  </pic:nvPicPr>
                  <pic:blipFill>
                    <a:blip r:embed="rId9"/>
                    <a:stretch>
                      <a:fillRect/>
                    </a:stretch>
                  </pic:blipFill>
                  <pic:spPr>
                    <a:xfrm>
                      <a:off x="0" y="0"/>
                      <a:ext cx="1600200" cy="517236"/>
                    </a:xfrm>
                    <a:prstGeom prst="rect"/>
                  </pic:spPr>
                </pic:pic>
              </a:graphicData>
            </a:graphic>
          </wp:inline>
        </w:drawing>
      </w:r>
    </w:p>
    <w:p>
      <w:pPr>
        <w:spacing w:after="120"/>
      </w:pPr>
      <w:r>
        <w:rPr>
          <w:b/>
          <w:color w:val="E32A26"/>
          <w:sz w:val="16"/>
        </w:rPr>
        <w:t>GUIDE PRATIQUE  ·  PRÉPARER LA RÉPONSE</w:t>
      </w:r>
    </w:p>
    <w:p>
      <w:pPr>
        <w:pStyle w:val="Title"/>
      </w:pPr>
      <w:r>
        <w:t>Comprendre les critères dans une soumission bâtiment</w:t>
      </w:r>
    </w:p>
    <w:p>
      <w:r>
        <w:t>Les demandes d’un DAO ne remplissent pas toutes la même fonction. Certaines portent sur l’accès à la procédure, d’autres sur les capacités de l’entreprise ou sur les caractéristiques de la prestation. D’autres encore servent à comparer les offres. Les distinguer permet de préparer la bonne réponse.</w:t>
      </w:r>
    </w:p>
    <w:p>
      <w:pPr>
        <w:pStyle w:val="Heading1"/>
      </w:pPr>
      <w:r>
        <w:t>Les conditions de participation</w:t>
      </w:r>
    </w:p>
    <w:p>
      <w:r>
        <w:t>Elles encadrent la participation de l’entreprise, notamment au regard des obligations annoncées. Relevez les déclarations et justificatifs demandés, leur forme et le moment auquel ils doivent être fournis. Identifiez les personnes autorisées à les signer.</w:t>
      </w:r>
    </w:p>
    <w:p>
      <w:r>
        <w:t>Si la situation de votre entreprise présente une particularité, faites-la examiner avant de confirmer une déclaration. Une case cochée ne remplace pas une vérification de la réalité qu’elle décrit.</w:t>
      </w:r>
    </w:p>
    <w:p>
      <w:pPr>
        <w:pStyle w:val="Heading1"/>
      </w:pPr>
      <w:r>
        <w:t>Les critères d’aptitude</w:t>
      </w:r>
    </w:p>
    <w:p>
      <w:r>
        <w:t>Ils concernent la capacité à exécuter le marché. Les preuves peuvent porter sur les références, les compétences, les personnes ou les moyens. Notez la formulation exacte et les caractéristiques à démontrer.</w:t>
      </w:r>
    </w:p>
    <w:p>
      <w:r>
        <w:t>Exemple fictif : le dossier demande une expérience de rénovation en site occupé. Une réalisation neuve importante démontre un savoir-faire, mais ne prouve pas nécessairement cette expérience précise. Il faut apprécier sa correspondance à la demande, sans la présenter comme acquise.</w:t>
      </w:r>
    </w:p>
    <w:p>
      <w:pPr>
        <w:pStyle w:val="Heading1"/>
      </w:pPr>
      <w:r>
        <w:t>Les spécifications techniques</w:t>
      </w:r>
    </w:p>
    <w:p>
      <w:r>
        <w:t>Elles définissent les caractéristiques de ce qui doit être fourni ou réalisé. Reliez-les aux produits, systèmes et méthodes que vous proposez. Vérifiez les documents de preuve, la disponibilité et l’incidence sur le chiffrage.</w:t>
      </w:r>
    </w:p>
    <w:p>
      <w:r>
        <w:t>L’équivalence d’un produit et l’admission d’une variante sont deux questions à lire séparément. Une marque suivie d’une possibilité d’équivalence n’autorise pas à modifier librement tout le périmètre du marché.</w:t>
      </w:r>
    </w:p>
    <w:p>
      <w:pPr>
        <w:pStyle w:val="Heading1"/>
      </w:pPr>
      <w:r>
        <w:t>Les critères d’adjudication</w:t>
      </w:r>
    </w:p>
    <w:p>
      <w:r>
        <w:t>Ils servent à comparer les offres selon les pondérations et méthodes annoncées. Relevez les sous-critères, les échelles de notes, les éventuels seuils et les annexes servant à l’analyse.</w:t>
      </w:r>
    </w:p>
    <w:p>
      <w:r>
        <w:t>Si l’organisation est évaluée, précisez les responsabilités, les ressources et les réponses aux contraintes du chantier. Si des éléments environnementaux sont demandés, fournissez des mesures et preuves pertinentes. Un engagement général ne répond pas nécessairement à une question précise.</w:t>
      </w:r>
    </w:p>
    <w:p>
      <w:pPr>
        <w:pStyle w:val="Heading1"/>
      </w:pPr>
      <w:r>
        <w:t>Faire une carte du marché</w:t>
      </w:r>
    </w:p>
    <w:p>
      <w:r>
        <w:t>Créez une ligne par demande avec sa famille, sa source, le seuil ou la pondération, la preuve et son emplacement. Lorsqu’une référence apparaît à plusieurs endroits, vérifiez ce qui est examiné à chaque étape.</w:t>
      </w:r>
    </w:p>
    <w:p>
      <w:r>
        <w:t>Un tableau ou un renvoi incohérent ne doit pas être corrigé par intuition. Signalez-le dans le registre des questions et cherchez une clarification officielle. Ne supposez pas qu’une bonne note qualitative compensera une condition indispensable non satisfaite.</w:t>
      </w:r>
    </w:p>
    <w:p>
      <w:r>
        <w:t>La carte gratuite Décroche organise cette lecture. Elle doit rester liée aux règles du marché étudié ; elle ne fournit pas un barème universel ni une prévision du résultat.</w:t>
      </w:r>
    </w:p>
    <w:p>
      <w:r>
        <w:rPr>
          <w:sz w:val="16"/>
        </w:rPr>
        <w:t>Repères officiels  trias.swiss et Guide romand des marchés publics sur vd.ch</w:t>
      </w:r>
    </w:p>
    <w:sectPr w:rsidR="00FC693F" w:rsidRPr="0006063C" w:rsidSect="00034616">
      <w:footerReference w:type="default" r:id="rId10"/>
      <w:pgSz w:w="12240" w:h="15840"/>
      <w:pgMar w:top="835" w:right="1037" w:bottom="835" w:left="1037" w:header="259"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55960"/>
        <w:sz w:val="16"/>
      </w:rPr>
      <w:t xml:space="preserve">Décroche  ·  décroche.ch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80" w:line="240"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line="240" w:lineRule="auto"/>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80" w:line="240" w:lineRule="auto"/>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20" w:line="240" w:lineRule="auto"/>
      <w:contextualSpacing/>
    </w:pPr>
    <w:rPr>
      <w:rFonts w:asciiTheme="majorHAnsi" w:eastAsiaTheme="majorEastAsia" w:hAnsiTheme="majorHAnsi" w:cstheme="majorBidi" w:ascii="Arial" w:hAnsi="Arial"/>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Comprendre les critères dans une soumission bâtiment</dc:title>
  <dc:subject>Soumissions bâtiment en Suisse romande</dc:subject>
  <dc:creator>Décroche</dc:creator>
  <cp:keywords/>
  <dc:description>generated by python-docx</dc:description>
  <cp:lastModifiedBy/>
  <cp:revision>1</cp:revision>
  <dcterms:created xsi:type="dcterms:W3CDTF">2013-12-23T23:15:00Z</dcterms:created>
  <dcterms:modified xsi:type="dcterms:W3CDTF">2013-12-23T23:15:00Z</dcterms:modified>
  <cp:category/>
</cp:coreProperties>
</file>